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3A2" w:rsidRDefault="009E23A2" w:rsidP="00981D67">
      <w:pPr>
        <w:rPr>
          <w:rFonts w:ascii="仿宋_GB2312" w:eastAsia="仿宋_GB2312" w:hAnsi="仿宋" w:cs="仿宋"/>
          <w:b/>
          <w:sz w:val="28"/>
        </w:rPr>
      </w:pPr>
    </w:p>
    <w:p w:rsidR="00B92C10" w:rsidRPr="00ED3716" w:rsidRDefault="00B92C10" w:rsidP="00B92C10">
      <w:pPr>
        <w:jc w:val="center"/>
        <w:rPr>
          <w:rFonts w:ascii="仿宋_GB2312" w:eastAsia="仿宋_GB2312" w:hAnsi="仿宋" w:cs="仿宋"/>
          <w:b/>
          <w:sz w:val="36"/>
          <w:szCs w:val="36"/>
        </w:rPr>
      </w:pPr>
      <w:r w:rsidRPr="00ED3716">
        <w:rPr>
          <w:rFonts w:ascii="仿宋_GB2312" w:eastAsia="仿宋_GB2312" w:hAnsi="仿宋" w:cs="仿宋" w:hint="eastAsia"/>
          <w:b/>
          <w:sz w:val="36"/>
          <w:szCs w:val="36"/>
        </w:rPr>
        <w:t>表</w:t>
      </w:r>
      <w:r w:rsidR="0053235F">
        <w:rPr>
          <w:rFonts w:ascii="仿宋_GB2312" w:eastAsia="仿宋_GB2312" w:hAnsi="仿宋" w:cs="仿宋" w:hint="eastAsia"/>
          <w:b/>
          <w:sz w:val="36"/>
          <w:szCs w:val="36"/>
        </w:rPr>
        <w:t>2</w:t>
      </w:r>
      <w:r w:rsidRPr="00ED3716">
        <w:rPr>
          <w:rFonts w:ascii="仿宋_GB2312" w:eastAsia="仿宋_GB2312" w:hAnsi="仿宋" w:cs="仿宋" w:hint="eastAsia"/>
          <w:b/>
          <w:sz w:val="36"/>
          <w:szCs w:val="36"/>
        </w:rPr>
        <w:t>：风景园林硕士点指标任务完成情况一览表</w:t>
      </w:r>
    </w:p>
    <w:tbl>
      <w:tblPr>
        <w:tblW w:w="0" w:type="auto"/>
        <w:jc w:val="center"/>
        <w:tblInd w:w="-2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5"/>
        <w:gridCol w:w="1559"/>
        <w:gridCol w:w="5566"/>
        <w:gridCol w:w="1276"/>
        <w:gridCol w:w="1821"/>
        <w:gridCol w:w="1821"/>
      </w:tblGrid>
      <w:tr w:rsidR="00B92C10" w:rsidTr="00284BE4">
        <w:trPr>
          <w:trHeight w:val="837"/>
          <w:jc w:val="center"/>
        </w:trPr>
        <w:tc>
          <w:tcPr>
            <w:tcW w:w="1205" w:type="dxa"/>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一级指标</w:t>
            </w:r>
          </w:p>
        </w:tc>
        <w:tc>
          <w:tcPr>
            <w:tcW w:w="1559" w:type="dxa"/>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二级指标</w:t>
            </w:r>
          </w:p>
        </w:tc>
        <w:tc>
          <w:tcPr>
            <w:tcW w:w="5566" w:type="dxa"/>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主要内容</w:t>
            </w:r>
          </w:p>
        </w:tc>
        <w:tc>
          <w:tcPr>
            <w:tcW w:w="1276" w:type="dxa"/>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目标要求</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实际完成情况</w:t>
            </w:r>
          </w:p>
        </w:tc>
        <w:tc>
          <w:tcPr>
            <w:tcW w:w="1821" w:type="dxa"/>
            <w:shd w:val="clear" w:color="auto" w:fill="DAEEF3" w:themeFill="accent5" w:themeFillTint="33"/>
            <w:vAlign w:val="center"/>
          </w:tcPr>
          <w:p w:rsidR="00B92C10" w:rsidRDefault="00632365" w:rsidP="00B92C10">
            <w:pPr>
              <w:jc w:val="center"/>
              <w:rPr>
                <w:rFonts w:ascii="仿宋_GB2312" w:eastAsia="仿宋_GB2312" w:hAnsi="仿宋" w:cs="仿宋"/>
                <w:b/>
                <w:sz w:val="24"/>
              </w:rPr>
            </w:pPr>
            <w:r>
              <w:rPr>
                <w:rFonts w:ascii="仿宋_GB2312" w:eastAsia="仿宋_GB2312" w:hAnsi="仿宋" w:cs="仿宋" w:hint="eastAsia"/>
                <w:b/>
                <w:sz w:val="24"/>
              </w:rPr>
              <w:t>支撑材料</w:t>
            </w:r>
          </w:p>
        </w:tc>
      </w:tr>
      <w:tr w:rsidR="00B92C10" w:rsidTr="00284BE4">
        <w:trPr>
          <w:trHeight w:val="932"/>
          <w:jc w:val="center"/>
        </w:trPr>
        <w:tc>
          <w:tcPr>
            <w:tcW w:w="1205" w:type="dxa"/>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专业</w:t>
            </w:r>
          </w:p>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特色</w:t>
            </w:r>
          </w:p>
        </w:tc>
        <w:tc>
          <w:tcPr>
            <w:tcW w:w="1559" w:type="dxa"/>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1.专业特色</w:t>
            </w: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开办风景园林或园林本科专业，支撑学科为风景园林学，相关学科为建筑学、城乡规划学、林学、设计学、园艺学等。</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有相关专业和支撑学科</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B92C10" w:rsidRDefault="00B92C10" w:rsidP="00B92C10">
            <w:pPr>
              <w:rPr>
                <w:rFonts w:ascii="仿宋_GB2312" w:eastAsia="仿宋_GB2312" w:hAnsi="仿宋" w:cs="仿宋"/>
                <w:sz w:val="24"/>
              </w:rPr>
            </w:pPr>
            <w:r>
              <w:rPr>
                <w:rFonts w:ascii="仿宋_GB2312" w:eastAsia="仿宋_GB2312" w:hAnsi="仿宋" w:cs="仿宋" w:hint="eastAsia"/>
                <w:sz w:val="24"/>
              </w:rPr>
              <w:t>专业特色报告1份</w:t>
            </w:r>
          </w:p>
        </w:tc>
      </w:tr>
      <w:tr w:rsidR="00B92C10" w:rsidTr="0012043A">
        <w:trPr>
          <w:trHeight w:val="176"/>
          <w:jc w:val="center"/>
        </w:trPr>
        <w:tc>
          <w:tcPr>
            <w:tcW w:w="1205" w:type="dxa"/>
            <w:vMerge w:val="restart"/>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师</w:t>
            </w:r>
          </w:p>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资</w:t>
            </w:r>
          </w:p>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队</w:t>
            </w:r>
          </w:p>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伍</w:t>
            </w:r>
          </w:p>
        </w:tc>
        <w:tc>
          <w:tcPr>
            <w:tcW w:w="1559" w:type="dxa"/>
            <w:vMerge w:val="restart"/>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2.人员规模</w:t>
            </w: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专业教师</w:t>
            </w:r>
          </w:p>
        </w:tc>
        <w:tc>
          <w:tcPr>
            <w:tcW w:w="1276" w:type="dxa"/>
            <w:vAlign w:val="center"/>
          </w:tcPr>
          <w:p w:rsidR="00B92C10" w:rsidRDefault="00B92C10" w:rsidP="00DA0F9C">
            <w:pPr>
              <w:jc w:val="center"/>
              <w:rPr>
                <w:rFonts w:ascii="仿宋_GB2312" w:eastAsia="仿宋_GB2312" w:hAnsi="仿宋" w:cs="仿宋"/>
                <w:sz w:val="24"/>
              </w:rPr>
            </w:pPr>
            <w:r w:rsidRPr="00B47E33">
              <w:rPr>
                <w:rFonts w:ascii="仿宋_GB2312" w:eastAsia="仿宋_GB2312" w:hAnsi="仿宋" w:cs="仿宋" w:hint="eastAsia"/>
                <w:sz w:val="24"/>
              </w:rPr>
              <w:t>≥15人</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vMerge w:val="restart"/>
            <w:shd w:val="clear" w:color="auto" w:fill="DAEEF3" w:themeFill="accent5" w:themeFillTint="33"/>
            <w:vAlign w:val="center"/>
          </w:tcPr>
          <w:p w:rsidR="00B92C10" w:rsidRDefault="00B92C10" w:rsidP="0012043A">
            <w:pPr>
              <w:jc w:val="center"/>
              <w:rPr>
                <w:rFonts w:ascii="仿宋_GB2312" w:eastAsia="仿宋_GB2312" w:hAnsi="仿宋" w:cs="仿宋"/>
                <w:sz w:val="24"/>
              </w:rPr>
            </w:pPr>
            <w:r>
              <w:rPr>
                <w:rFonts w:ascii="仿宋_GB2312" w:eastAsia="仿宋_GB2312" w:hAnsi="仿宋" w:cs="仿宋" w:hint="eastAsia"/>
                <w:sz w:val="24"/>
              </w:rPr>
              <w:t>提供人员名单</w:t>
            </w:r>
          </w:p>
          <w:p w:rsidR="00B92C10" w:rsidRDefault="00B92C10" w:rsidP="0012043A">
            <w:pPr>
              <w:jc w:val="center"/>
              <w:rPr>
                <w:rFonts w:ascii="仿宋_GB2312" w:eastAsia="仿宋_GB2312" w:hAnsi="仿宋" w:cs="仿宋"/>
                <w:sz w:val="24"/>
              </w:rPr>
            </w:pP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外聘教师</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≥5人</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B92C10" w:rsidRDefault="00B92C10" w:rsidP="0012043A">
            <w:pPr>
              <w:jc w:val="center"/>
              <w:rPr>
                <w:rFonts w:ascii="仿宋_GB2312" w:eastAsia="仿宋_GB2312" w:hAnsi="仿宋" w:cs="仿宋"/>
                <w:sz w:val="24"/>
              </w:rPr>
            </w:pP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restart"/>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3.人员结构</w:t>
            </w: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45岁以下青年教师</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≥40%</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B92C10" w:rsidRDefault="00B92C10" w:rsidP="0012043A">
            <w:pPr>
              <w:jc w:val="center"/>
              <w:rPr>
                <w:rFonts w:ascii="仿宋_GB2312" w:eastAsia="仿宋_GB2312" w:hAnsi="仿宋" w:cs="仿宋"/>
                <w:sz w:val="24"/>
              </w:rPr>
            </w:pP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（1）最高学位为支撑学科或相关学科风景园林方向的人员</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≥50%</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B92C10" w:rsidRDefault="00B92C10" w:rsidP="0012043A">
            <w:pPr>
              <w:jc w:val="center"/>
              <w:rPr>
                <w:rFonts w:ascii="仿宋_GB2312" w:eastAsia="仿宋_GB2312" w:hAnsi="仿宋" w:cs="仿宋"/>
                <w:sz w:val="24"/>
              </w:rPr>
            </w:pP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（2）获博士学位人员</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≥50%</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B92C10" w:rsidRDefault="00B92C10" w:rsidP="0012043A">
            <w:pPr>
              <w:jc w:val="center"/>
              <w:rPr>
                <w:rFonts w:ascii="仿宋_GB2312" w:eastAsia="仿宋_GB2312" w:hAnsi="仿宋" w:cs="仿宋"/>
                <w:sz w:val="24"/>
              </w:rPr>
            </w:pP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（3）副高以上专业技术职称人员</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≥50%</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B92C10" w:rsidRDefault="00B92C10" w:rsidP="0012043A">
            <w:pPr>
              <w:jc w:val="center"/>
              <w:rPr>
                <w:rFonts w:ascii="仿宋_GB2312" w:eastAsia="仿宋_GB2312" w:hAnsi="仿宋" w:cs="仿宋"/>
                <w:sz w:val="24"/>
              </w:rPr>
            </w:pP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注：其中正高专业技术职称人员</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≥20%</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B92C10" w:rsidRDefault="00B92C10" w:rsidP="0012043A">
            <w:pPr>
              <w:jc w:val="center"/>
              <w:rPr>
                <w:rFonts w:ascii="仿宋_GB2312" w:eastAsia="仿宋_GB2312" w:hAnsi="仿宋" w:cs="仿宋"/>
                <w:sz w:val="24"/>
              </w:rPr>
            </w:pP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restart"/>
            <w:vAlign w:val="center"/>
          </w:tcPr>
          <w:p w:rsidR="00B92C10" w:rsidRDefault="00B92C10" w:rsidP="00DA0F9C">
            <w:pPr>
              <w:jc w:val="center"/>
              <w:rPr>
                <w:rFonts w:ascii="仿宋_GB2312" w:eastAsia="仿宋_GB2312" w:hAnsi="仿宋" w:cs="仿宋"/>
                <w:b/>
                <w:sz w:val="24"/>
              </w:rPr>
            </w:pPr>
            <w:r>
              <w:rPr>
                <w:rFonts w:ascii="仿宋_GB2312" w:eastAsia="仿宋_GB2312" w:hAnsi="仿宋" w:cs="仿宋" w:hint="eastAsia"/>
                <w:b/>
                <w:sz w:val="24"/>
              </w:rPr>
              <w:t>4.骨干教师</w:t>
            </w: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（1）近5年，主持或参与（排名前三）教学、科研、规划设计项目获得省部级或相关一级学会（协会）以上级别奖励</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2</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B92C10" w:rsidRDefault="00224249" w:rsidP="0012043A">
            <w:pPr>
              <w:jc w:val="center"/>
              <w:rPr>
                <w:rFonts w:ascii="仿宋_GB2312" w:eastAsia="仿宋_GB2312" w:hAnsi="仿宋" w:cs="仿宋"/>
                <w:sz w:val="24"/>
              </w:rPr>
            </w:pPr>
            <w:r>
              <w:rPr>
                <w:rFonts w:ascii="仿宋_GB2312" w:eastAsia="仿宋_GB2312" w:hAnsi="仿宋" w:cs="仿宋" w:hint="eastAsia"/>
                <w:sz w:val="24"/>
              </w:rPr>
              <w:t>提供奖励清单</w:t>
            </w: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其中主持风景园林硕士主要服务领域实践项目</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≥2项</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B92C10" w:rsidRDefault="00B92C10" w:rsidP="0012043A">
            <w:pPr>
              <w:jc w:val="center"/>
              <w:rPr>
                <w:rFonts w:ascii="仿宋_GB2312" w:eastAsia="仿宋_GB2312" w:hAnsi="仿宋" w:cs="仿宋"/>
                <w:sz w:val="24"/>
              </w:rPr>
            </w:pPr>
            <w:r>
              <w:rPr>
                <w:rFonts w:ascii="仿宋_GB2312" w:eastAsia="仿宋_GB2312" w:hAnsi="仿宋" w:cs="仿宋" w:hint="eastAsia"/>
                <w:sz w:val="24"/>
              </w:rPr>
              <w:t>提供项目</w:t>
            </w:r>
            <w:r w:rsidR="00224249">
              <w:rPr>
                <w:rFonts w:ascii="仿宋_GB2312" w:eastAsia="仿宋_GB2312" w:hAnsi="仿宋" w:cs="仿宋" w:hint="eastAsia"/>
                <w:sz w:val="24"/>
              </w:rPr>
              <w:t>清单</w:t>
            </w: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或参与（排名前三）风景园林硕士主要服务领域实践项目</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≥5项</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B92C10" w:rsidRDefault="00B92C10" w:rsidP="0012043A">
            <w:pPr>
              <w:jc w:val="center"/>
              <w:rPr>
                <w:rFonts w:ascii="仿宋_GB2312" w:eastAsia="仿宋_GB2312" w:hAnsi="仿宋" w:cs="仿宋"/>
                <w:sz w:val="24"/>
              </w:rPr>
            </w:pPr>
            <w:r>
              <w:rPr>
                <w:rFonts w:ascii="仿宋_GB2312" w:eastAsia="仿宋_GB2312" w:hAnsi="仿宋" w:cs="仿宋" w:hint="eastAsia"/>
                <w:sz w:val="24"/>
              </w:rPr>
              <w:t>提供项目</w:t>
            </w:r>
            <w:r w:rsidR="00224249">
              <w:rPr>
                <w:rFonts w:ascii="仿宋_GB2312" w:eastAsia="仿宋_GB2312" w:hAnsi="仿宋" w:cs="仿宋" w:hint="eastAsia"/>
                <w:sz w:val="24"/>
              </w:rPr>
              <w:t>清单</w:t>
            </w: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（2）连续培养本科或支撑学科、相关学科本科毕业生</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≥8届</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B92C10" w:rsidRDefault="00B92C10" w:rsidP="0012043A">
            <w:pPr>
              <w:jc w:val="center"/>
              <w:rPr>
                <w:rFonts w:ascii="仿宋_GB2312" w:eastAsia="仿宋_GB2312" w:hAnsi="仿宋" w:cs="仿宋"/>
                <w:sz w:val="24"/>
              </w:rPr>
            </w:pPr>
          </w:p>
        </w:tc>
      </w:tr>
      <w:tr w:rsidR="00B92C10" w:rsidTr="0012043A">
        <w:trPr>
          <w:trHeight w:val="176"/>
          <w:jc w:val="center"/>
        </w:trPr>
        <w:tc>
          <w:tcPr>
            <w:tcW w:w="1205" w:type="dxa"/>
            <w:vMerge/>
            <w:vAlign w:val="center"/>
          </w:tcPr>
          <w:p w:rsidR="00B92C10" w:rsidRDefault="00B92C10" w:rsidP="00DA0F9C">
            <w:pPr>
              <w:jc w:val="center"/>
              <w:rPr>
                <w:rFonts w:ascii="仿宋_GB2312" w:eastAsia="仿宋_GB2312" w:hAnsi="仿宋" w:cs="仿宋"/>
                <w:b/>
                <w:sz w:val="24"/>
              </w:rPr>
            </w:pPr>
          </w:p>
        </w:tc>
        <w:tc>
          <w:tcPr>
            <w:tcW w:w="1559" w:type="dxa"/>
            <w:vMerge/>
            <w:vAlign w:val="center"/>
          </w:tcPr>
          <w:p w:rsidR="00B92C10" w:rsidRDefault="00B92C10" w:rsidP="00DA0F9C">
            <w:pPr>
              <w:jc w:val="center"/>
              <w:rPr>
                <w:rFonts w:ascii="仿宋_GB2312" w:eastAsia="仿宋_GB2312" w:hAnsi="仿宋" w:cs="仿宋"/>
                <w:b/>
                <w:sz w:val="24"/>
              </w:rPr>
            </w:pPr>
          </w:p>
        </w:tc>
        <w:tc>
          <w:tcPr>
            <w:tcW w:w="5566" w:type="dxa"/>
            <w:vAlign w:val="center"/>
          </w:tcPr>
          <w:p w:rsidR="00B92C10" w:rsidRDefault="00B92C10" w:rsidP="00DA0F9C">
            <w:pPr>
              <w:rPr>
                <w:rFonts w:ascii="仿宋_GB2312" w:eastAsia="仿宋_GB2312" w:hAnsi="仿宋" w:cs="仿宋"/>
                <w:sz w:val="24"/>
              </w:rPr>
            </w:pPr>
            <w:r>
              <w:rPr>
                <w:rFonts w:ascii="仿宋_GB2312" w:eastAsia="仿宋_GB2312" w:hAnsi="仿宋" w:cs="仿宋" w:hint="eastAsia"/>
                <w:sz w:val="24"/>
              </w:rPr>
              <w:t>（3）近5年，在本单位相关学科硕士点担任硕士生导师或与合作单位联合培养风景园林硕士、培养毕业生硕士</w:t>
            </w:r>
          </w:p>
        </w:tc>
        <w:tc>
          <w:tcPr>
            <w:tcW w:w="1276" w:type="dxa"/>
            <w:vAlign w:val="center"/>
          </w:tcPr>
          <w:p w:rsidR="00B92C10" w:rsidRDefault="00B92C10" w:rsidP="00DA0F9C">
            <w:pPr>
              <w:jc w:val="center"/>
              <w:rPr>
                <w:rFonts w:ascii="仿宋_GB2312" w:eastAsia="仿宋_GB2312" w:hAnsi="仿宋" w:cs="仿宋"/>
                <w:sz w:val="24"/>
              </w:rPr>
            </w:pPr>
            <w:r>
              <w:rPr>
                <w:rFonts w:ascii="仿宋_GB2312" w:eastAsia="仿宋_GB2312" w:hAnsi="仿宋" w:cs="仿宋" w:hint="eastAsia"/>
                <w:sz w:val="24"/>
              </w:rPr>
              <w:t>≥5人</w:t>
            </w:r>
          </w:p>
        </w:tc>
        <w:tc>
          <w:tcPr>
            <w:tcW w:w="1821" w:type="dxa"/>
            <w:shd w:val="clear" w:color="auto" w:fill="DAEEF3" w:themeFill="accent5" w:themeFillTint="33"/>
            <w:vAlign w:val="center"/>
          </w:tcPr>
          <w:p w:rsidR="00B92C10" w:rsidRDefault="00B92C10"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B92C10" w:rsidRDefault="00B92C10" w:rsidP="0012043A">
            <w:pPr>
              <w:jc w:val="center"/>
              <w:rPr>
                <w:rFonts w:ascii="仿宋_GB2312" w:eastAsia="仿宋_GB2312" w:hAnsi="仿宋" w:cs="仿宋"/>
                <w:sz w:val="24"/>
              </w:rPr>
            </w:pPr>
            <w:r>
              <w:rPr>
                <w:rFonts w:ascii="仿宋_GB2312" w:eastAsia="仿宋_GB2312" w:hAnsi="仿宋" w:cs="仿宋" w:hint="eastAsia"/>
                <w:sz w:val="24"/>
              </w:rPr>
              <w:t>提供导师名单</w:t>
            </w:r>
          </w:p>
        </w:tc>
      </w:tr>
      <w:tr w:rsidR="00D3598E" w:rsidTr="0012043A">
        <w:trPr>
          <w:trHeight w:val="176"/>
          <w:jc w:val="center"/>
        </w:trPr>
        <w:tc>
          <w:tcPr>
            <w:tcW w:w="1205" w:type="dxa"/>
            <w:vMerge w:val="restart"/>
            <w:vAlign w:val="center"/>
          </w:tcPr>
          <w:p w:rsidR="00D3598E" w:rsidRDefault="00D3598E" w:rsidP="00DA0F9C">
            <w:pPr>
              <w:jc w:val="center"/>
              <w:rPr>
                <w:rFonts w:ascii="仿宋_GB2312" w:eastAsia="仿宋_GB2312" w:hAnsi="仿宋" w:cs="仿宋"/>
                <w:b/>
                <w:sz w:val="24"/>
              </w:rPr>
            </w:pPr>
            <w:r>
              <w:rPr>
                <w:rFonts w:ascii="仿宋_GB2312" w:eastAsia="仿宋_GB2312" w:hAnsi="仿宋" w:cs="仿宋" w:hint="eastAsia"/>
                <w:b/>
                <w:sz w:val="24"/>
              </w:rPr>
              <w:t>人</w:t>
            </w:r>
          </w:p>
          <w:p w:rsidR="00D3598E" w:rsidRDefault="00D3598E" w:rsidP="00DA0F9C">
            <w:pPr>
              <w:jc w:val="center"/>
              <w:rPr>
                <w:rFonts w:ascii="仿宋_GB2312" w:eastAsia="仿宋_GB2312" w:hAnsi="仿宋" w:cs="仿宋"/>
                <w:b/>
                <w:sz w:val="24"/>
              </w:rPr>
            </w:pPr>
            <w:r>
              <w:rPr>
                <w:rFonts w:ascii="仿宋_GB2312" w:eastAsia="仿宋_GB2312" w:hAnsi="仿宋" w:cs="仿宋" w:hint="eastAsia"/>
                <w:b/>
                <w:sz w:val="24"/>
              </w:rPr>
              <w:t>才</w:t>
            </w:r>
          </w:p>
          <w:p w:rsidR="00D3598E" w:rsidRDefault="00D3598E" w:rsidP="00DA0F9C">
            <w:pPr>
              <w:jc w:val="center"/>
              <w:rPr>
                <w:rFonts w:ascii="仿宋_GB2312" w:eastAsia="仿宋_GB2312" w:hAnsi="仿宋" w:cs="仿宋"/>
                <w:b/>
                <w:sz w:val="24"/>
              </w:rPr>
            </w:pPr>
            <w:proofErr w:type="gramStart"/>
            <w:r>
              <w:rPr>
                <w:rFonts w:ascii="仿宋_GB2312" w:eastAsia="仿宋_GB2312" w:hAnsi="仿宋" w:cs="仿宋" w:hint="eastAsia"/>
                <w:b/>
                <w:sz w:val="24"/>
              </w:rPr>
              <w:t>培</w:t>
            </w:r>
            <w:proofErr w:type="gramEnd"/>
          </w:p>
          <w:p w:rsidR="00D3598E" w:rsidRDefault="00D3598E" w:rsidP="00DA0F9C">
            <w:pPr>
              <w:jc w:val="center"/>
              <w:rPr>
                <w:rFonts w:ascii="仿宋_GB2312" w:eastAsia="仿宋_GB2312" w:hAnsi="仿宋" w:cs="仿宋"/>
                <w:b/>
                <w:sz w:val="24"/>
              </w:rPr>
            </w:pPr>
            <w:r>
              <w:rPr>
                <w:rFonts w:ascii="仿宋_GB2312" w:eastAsia="仿宋_GB2312" w:hAnsi="仿宋" w:cs="仿宋" w:hint="eastAsia"/>
                <w:b/>
                <w:sz w:val="24"/>
              </w:rPr>
              <w:t>养</w:t>
            </w:r>
          </w:p>
        </w:tc>
        <w:tc>
          <w:tcPr>
            <w:tcW w:w="1559" w:type="dxa"/>
            <w:vMerge w:val="restart"/>
            <w:vAlign w:val="center"/>
          </w:tcPr>
          <w:p w:rsidR="00D3598E" w:rsidRDefault="00D3598E" w:rsidP="00B92C10">
            <w:pPr>
              <w:numPr>
                <w:ilvl w:val="0"/>
                <w:numId w:val="1"/>
              </w:numPr>
              <w:jc w:val="center"/>
              <w:rPr>
                <w:rFonts w:ascii="仿宋_GB2312" w:eastAsia="仿宋_GB2312" w:hAnsi="仿宋" w:cs="仿宋"/>
                <w:b/>
                <w:sz w:val="24"/>
              </w:rPr>
            </w:pPr>
            <w:r>
              <w:rPr>
                <w:rFonts w:ascii="仿宋_GB2312" w:eastAsia="仿宋_GB2312" w:hAnsi="仿宋" w:cs="仿宋" w:hint="eastAsia"/>
                <w:b/>
                <w:sz w:val="24"/>
              </w:rPr>
              <w:t>课程与教学</w:t>
            </w: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（1）每门学位课程、限选课程授课团队中的副高级以上专业技术职称的骨干教师</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≥1人</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D3598E" w:rsidP="0012043A">
            <w:pPr>
              <w:jc w:val="center"/>
              <w:rPr>
                <w:rFonts w:ascii="仿宋_GB2312" w:eastAsia="仿宋_GB2312" w:hAnsi="仿宋" w:cs="仿宋"/>
                <w:sz w:val="24"/>
              </w:rPr>
            </w:pPr>
            <w:r>
              <w:rPr>
                <w:rFonts w:ascii="仿宋_GB2312" w:eastAsia="仿宋_GB2312" w:hAnsi="仿宋" w:cs="仿宋" w:hint="eastAsia"/>
                <w:sz w:val="24"/>
              </w:rPr>
              <w:t>提供骨干教师名单</w:t>
            </w:r>
          </w:p>
        </w:tc>
      </w:tr>
      <w:tr w:rsidR="00D3598E" w:rsidTr="0012043A">
        <w:trPr>
          <w:trHeight w:val="176"/>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（2）完备的硕士研究生培养方案、教学计划，整齐的学位课程、限选课程教学大纲</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D3598E" w:rsidP="0012043A">
            <w:pPr>
              <w:jc w:val="center"/>
              <w:rPr>
                <w:rFonts w:ascii="仿宋_GB2312" w:eastAsia="仿宋_GB2312" w:hAnsi="仿宋" w:cs="仿宋"/>
                <w:sz w:val="24"/>
              </w:rPr>
            </w:pPr>
            <w:r>
              <w:rPr>
                <w:rFonts w:ascii="仿宋_GB2312" w:eastAsia="仿宋_GB2312" w:hAnsi="仿宋" w:cs="仿宋" w:hint="eastAsia"/>
                <w:sz w:val="24"/>
              </w:rPr>
              <w:t>研究生培养方案1份</w:t>
            </w:r>
          </w:p>
        </w:tc>
      </w:tr>
      <w:tr w:rsidR="00D3598E" w:rsidTr="00284BE4">
        <w:trPr>
          <w:trHeight w:val="176"/>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（3）案例教学比重，学位课程和限选课程突出实用</w:t>
            </w:r>
            <w:r>
              <w:rPr>
                <w:rFonts w:ascii="仿宋_GB2312" w:eastAsia="仿宋_GB2312" w:hAnsi="仿宋" w:cs="仿宋" w:hint="eastAsia"/>
                <w:sz w:val="24"/>
              </w:rPr>
              <w:lastRenderedPageBreak/>
              <w:t>性和综合性</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lastRenderedPageBreak/>
              <w:t>具备</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tcPr>
          <w:p w:rsidR="00D3598E" w:rsidRDefault="00D3598E" w:rsidP="00DA0F9C">
            <w:pPr>
              <w:jc w:val="center"/>
              <w:rPr>
                <w:rFonts w:ascii="仿宋_GB2312" w:eastAsia="仿宋_GB2312" w:hAnsi="仿宋" w:cs="仿宋"/>
                <w:sz w:val="24"/>
              </w:rPr>
            </w:pPr>
          </w:p>
        </w:tc>
      </w:tr>
      <w:tr w:rsidR="00D3598E" w:rsidTr="00284BE4">
        <w:trPr>
          <w:trHeight w:val="176"/>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（4）培养考核标准明确，特别是学位论文成果认定标准</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tcPr>
          <w:p w:rsidR="00D3598E" w:rsidRDefault="00D3598E" w:rsidP="00DA0F9C">
            <w:pPr>
              <w:jc w:val="center"/>
              <w:rPr>
                <w:rFonts w:ascii="仿宋_GB2312" w:eastAsia="仿宋_GB2312" w:hAnsi="仿宋" w:cs="仿宋"/>
                <w:sz w:val="24"/>
              </w:rPr>
            </w:pPr>
          </w:p>
        </w:tc>
      </w:tr>
      <w:tr w:rsidR="00D3598E" w:rsidTr="00284BE4">
        <w:trPr>
          <w:trHeight w:val="176"/>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restart"/>
            <w:vAlign w:val="center"/>
          </w:tcPr>
          <w:p w:rsidR="00D3598E" w:rsidRDefault="00D3598E" w:rsidP="00DA0F9C">
            <w:pPr>
              <w:jc w:val="center"/>
              <w:rPr>
                <w:rFonts w:ascii="仿宋_GB2312" w:eastAsia="仿宋_GB2312" w:hAnsi="仿宋" w:cs="仿宋"/>
                <w:b/>
                <w:sz w:val="24"/>
              </w:rPr>
            </w:pPr>
            <w:r>
              <w:rPr>
                <w:rFonts w:ascii="仿宋_GB2312" w:eastAsia="仿宋_GB2312" w:hAnsi="仿宋" w:cs="仿宋" w:hint="eastAsia"/>
                <w:b/>
                <w:sz w:val="24"/>
              </w:rPr>
              <w:t>6.培养质量</w:t>
            </w: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（1）本科生、支撑学科或相关学科硕士毕业生在相关领域就业率高，用人单位社会评价良好</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就业率≥96%，用人单位满意度≥85%</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tcPr>
          <w:p w:rsidR="00D3598E" w:rsidRDefault="00D3598E" w:rsidP="00DA0F9C">
            <w:pPr>
              <w:jc w:val="center"/>
              <w:rPr>
                <w:rFonts w:ascii="仿宋_GB2312" w:eastAsia="仿宋_GB2312" w:hAnsi="仿宋" w:cs="仿宋"/>
                <w:sz w:val="24"/>
              </w:rPr>
            </w:pPr>
          </w:p>
        </w:tc>
      </w:tr>
      <w:tr w:rsidR="00D3598E" w:rsidTr="0012043A">
        <w:trPr>
          <w:trHeight w:val="176"/>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（2）近5年，本科生、支撑学科或相关学科硕士生获得省部级或相关一级学会（协会）以上级别科研、设计竞赛奖项</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≥4项</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D3598E" w:rsidP="0012043A">
            <w:pPr>
              <w:jc w:val="center"/>
              <w:rPr>
                <w:rFonts w:ascii="仿宋_GB2312" w:eastAsia="仿宋_GB2312" w:hAnsi="仿宋" w:cs="仿宋"/>
                <w:sz w:val="24"/>
              </w:rPr>
            </w:pPr>
            <w:r>
              <w:rPr>
                <w:rFonts w:ascii="仿宋_GB2312" w:eastAsia="仿宋_GB2312" w:hAnsi="仿宋" w:cs="仿宋" w:hint="eastAsia"/>
                <w:sz w:val="24"/>
              </w:rPr>
              <w:t>提供获奖</w:t>
            </w:r>
            <w:r w:rsidR="00224249">
              <w:rPr>
                <w:rFonts w:ascii="仿宋_GB2312" w:eastAsia="仿宋_GB2312" w:hAnsi="仿宋" w:cs="仿宋" w:hint="eastAsia"/>
                <w:sz w:val="24"/>
              </w:rPr>
              <w:t>清单</w:t>
            </w:r>
          </w:p>
        </w:tc>
      </w:tr>
      <w:tr w:rsidR="00D3598E" w:rsidTr="0012043A">
        <w:trPr>
          <w:trHeight w:val="176"/>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（3）支撑学科或相关学科获得过省部级或相关一级学会（协会）级别以上教学成果奖</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1项</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D3598E" w:rsidP="0012043A">
            <w:pPr>
              <w:jc w:val="center"/>
              <w:rPr>
                <w:rFonts w:ascii="仿宋_GB2312" w:eastAsia="仿宋_GB2312" w:hAnsi="仿宋" w:cs="仿宋"/>
                <w:sz w:val="24"/>
              </w:rPr>
            </w:pPr>
          </w:p>
        </w:tc>
      </w:tr>
      <w:tr w:rsidR="00D3598E" w:rsidTr="0012043A">
        <w:trPr>
          <w:trHeight w:val="176"/>
          <w:jc w:val="center"/>
        </w:trPr>
        <w:tc>
          <w:tcPr>
            <w:tcW w:w="1205" w:type="dxa"/>
            <w:vMerge w:val="restart"/>
            <w:vAlign w:val="center"/>
          </w:tcPr>
          <w:p w:rsidR="00D3598E" w:rsidRDefault="00D3598E" w:rsidP="00DA0F9C">
            <w:pPr>
              <w:jc w:val="center"/>
              <w:rPr>
                <w:rFonts w:ascii="仿宋_GB2312" w:eastAsia="仿宋_GB2312" w:hAnsi="仿宋" w:cs="仿宋"/>
                <w:b/>
                <w:sz w:val="24"/>
              </w:rPr>
            </w:pPr>
            <w:r>
              <w:rPr>
                <w:rFonts w:ascii="仿宋_GB2312" w:eastAsia="仿宋_GB2312" w:hAnsi="仿宋" w:cs="仿宋" w:hint="eastAsia"/>
                <w:b/>
                <w:sz w:val="24"/>
              </w:rPr>
              <w:t>培养环境与条件</w:t>
            </w:r>
          </w:p>
        </w:tc>
        <w:tc>
          <w:tcPr>
            <w:tcW w:w="1559" w:type="dxa"/>
            <w:vMerge w:val="restart"/>
            <w:vAlign w:val="center"/>
          </w:tcPr>
          <w:p w:rsidR="00D3598E" w:rsidRDefault="00D3598E" w:rsidP="006D7D39">
            <w:pPr>
              <w:jc w:val="center"/>
              <w:rPr>
                <w:rFonts w:ascii="仿宋_GB2312" w:eastAsia="仿宋_GB2312" w:hAnsi="仿宋" w:cs="仿宋"/>
                <w:b/>
                <w:sz w:val="24"/>
              </w:rPr>
            </w:pPr>
            <w:r>
              <w:rPr>
                <w:rFonts w:ascii="仿宋_GB2312" w:eastAsia="仿宋_GB2312" w:hAnsi="仿宋" w:cs="仿宋" w:hint="eastAsia"/>
                <w:b/>
                <w:sz w:val="24"/>
              </w:rPr>
              <w:t>7.科研水平</w:t>
            </w: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（1）纵向科研项目</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≥5项</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vMerge w:val="restart"/>
            <w:shd w:val="clear" w:color="auto" w:fill="DAEEF3" w:themeFill="accent5" w:themeFillTint="33"/>
            <w:vAlign w:val="center"/>
          </w:tcPr>
          <w:p w:rsidR="00D3598E" w:rsidRDefault="0012043A" w:rsidP="0012043A">
            <w:pPr>
              <w:jc w:val="center"/>
              <w:rPr>
                <w:rFonts w:ascii="仿宋_GB2312" w:eastAsia="仿宋_GB2312" w:hAnsi="仿宋" w:cs="仿宋"/>
                <w:sz w:val="24"/>
              </w:rPr>
            </w:pPr>
            <w:r>
              <w:rPr>
                <w:rFonts w:ascii="仿宋_GB2312" w:eastAsia="仿宋_GB2312" w:hAnsi="仿宋" w:cs="仿宋" w:hint="eastAsia"/>
                <w:sz w:val="24"/>
              </w:rPr>
              <w:t>提供项目清单</w:t>
            </w:r>
          </w:p>
        </w:tc>
      </w:tr>
      <w:tr w:rsidR="00D3598E" w:rsidTr="0012043A">
        <w:trPr>
          <w:trHeight w:val="769"/>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到位经费</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≥50万元</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D3598E" w:rsidRDefault="00D3598E" w:rsidP="0012043A">
            <w:pPr>
              <w:jc w:val="center"/>
              <w:rPr>
                <w:rFonts w:ascii="仿宋_GB2312" w:eastAsia="仿宋_GB2312" w:hAnsi="仿宋" w:cs="仿宋"/>
                <w:sz w:val="24"/>
              </w:rPr>
            </w:pPr>
          </w:p>
        </w:tc>
      </w:tr>
      <w:tr w:rsidR="00D3598E" w:rsidTr="0012043A">
        <w:trPr>
          <w:trHeight w:val="176"/>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（2）横向科研项目</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≥20项</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D3598E" w:rsidRDefault="00D3598E" w:rsidP="0012043A">
            <w:pPr>
              <w:jc w:val="center"/>
              <w:rPr>
                <w:rFonts w:ascii="仿宋_GB2312" w:eastAsia="仿宋_GB2312" w:hAnsi="仿宋" w:cs="仿宋"/>
                <w:sz w:val="24"/>
              </w:rPr>
            </w:pPr>
          </w:p>
        </w:tc>
      </w:tr>
      <w:tr w:rsidR="00D3598E" w:rsidTr="0012043A">
        <w:trPr>
          <w:trHeight w:val="184"/>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到位经费</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≥1000万元</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vMerge/>
            <w:shd w:val="clear" w:color="auto" w:fill="DAEEF3" w:themeFill="accent5" w:themeFillTint="33"/>
            <w:vAlign w:val="center"/>
          </w:tcPr>
          <w:p w:rsidR="00D3598E" w:rsidRDefault="00D3598E" w:rsidP="0012043A">
            <w:pPr>
              <w:jc w:val="center"/>
              <w:rPr>
                <w:rFonts w:ascii="仿宋_GB2312" w:eastAsia="仿宋_GB2312" w:hAnsi="仿宋" w:cs="仿宋"/>
                <w:sz w:val="24"/>
              </w:rPr>
            </w:pPr>
          </w:p>
        </w:tc>
      </w:tr>
      <w:tr w:rsidR="00D3598E" w:rsidTr="0012043A">
        <w:trPr>
          <w:trHeight w:val="1154"/>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（3）获得省部级或相关一级学会（协会）以上级别教学、科研、规划设计奖</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≥1项</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8D4389" w:rsidP="0012043A">
            <w:pPr>
              <w:jc w:val="center"/>
              <w:rPr>
                <w:rFonts w:ascii="仿宋_GB2312" w:eastAsia="仿宋_GB2312" w:hAnsi="仿宋" w:cs="仿宋"/>
                <w:sz w:val="24"/>
              </w:rPr>
            </w:pPr>
            <w:r>
              <w:rPr>
                <w:rFonts w:ascii="仿宋_GB2312" w:eastAsia="仿宋_GB2312" w:hAnsi="仿宋" w:cs="仿宋" w:hint="eastAsia"/>
                <w:sz w:val="24"/>
              </w:rPr>
              <w:t>提供获奖</w:t>
            </w:r>
            <w:r w:rsidR="00224249">
              <w:rPr>
                <w:rFonts w:ascii="仿宋_GB2312" w:eastAsia="仿宋_GB2312" w:hAnsi="仿宋" w:cs="仿宋" w:hint="eastAsia"/>
                <w:sz w:val="24"/>
              </w:rPr>
              <w:t>清单</w:t>
            </w:r>
          </w:p>
        </w:tc>
      </w:tr>
      <w:tr w:rsidR="00D3598E" w:rsidTr="0012043A">
        <w:trPr>
          <w:trHeight w:val="176"/>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restart"/>
            <w:vAlign w:val="center"/>
          </w:tcPr>
          <w:p w:rsidR="00D3598E" w:rsidRDefault="00D3598E" w:rsidP="00DA0F9C">
            <w:pPr>
              <w:jc w:val="center"/>
              <w:rPr>
                <w:rFonts w:ascii="仿宋_GB2312" w:eastAsia="仿宋_GB2312" w:hAnsi="仿宋" w:cs="仿宋"/>
                <w:b/>
                <w:sz w:val="24"/>
              </w:rPr>
            </w:pPr>
            <w:r>
              <w:rPr>
                <w:rFonts w:ascii="仿宋_GB2312" w:eastAsia="仿宋_GB2312" w:hAnsi="仿宋" w:cs="仿宋" w:hint="eastAsia"/>
                <w:b/>
                <w:sz w:val="24"/>
              </w:rPr>
              <w:t>8.实践教学</w:t>
            </w: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（1）实践教学环节规范完善</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D3598E" w:rsidP="0012043A">
            <w:pPr>
              <w:jc w:val="center"/>
              <w:rPr>
                <w:rFonts w:ascii="仿宋_GB2312" w:eastAsia="仿宋_GB2312" w:hAnsi="仿宋" w:cs="仿宋"/>
                <w:sz w:val="24"/>
              </w:rPr>
            </w:pPr>
          </w:p>
        </w:tc>
      </w:tr>
      <w:tr w:rsidR="00D3598E" w:rsidTr="0012043A">
        <w:trPr>
          <w:trHeight w:val="769"/>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ign w:val="center"/>
          </w:tcPr>
          <w:p w:rsidR="00D3598E" w:rsidRDefault="00D3598E" w:rsidP="00DA0F9C">
            <w:pPr>
              <w:jc w:val="center"/>
              <w:rPr>
                <w:rFonts w:ascii="仿宋_GB2312" w:eastAsia="仿宋_GB2312" w:hAnsi="仿宋" w:cs="仿宋"/>
                <w:b/>
                <w:sz w:val="24"/>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（2）教学效果良好，核心课程有行业参与教学机制</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D3598E" w:rsidP="0012043A">
            <w:pPr>
              <w:jc w:val="center"/>
              <w:rPr>
                <w:rFonts w:ascii="仿宋_GB2312" w:eastAsia="仿宋_GB2312" w:hAnsi="仿宋" w:cs="仿宋"/>
                <w:sz w:val="24"/>
              </w:rPr>
            </w:pPr>
          </w:p>
        </w:tc>
      </w:tr>
      <w:tr w:rsidR="00D3598E" w:rsidTr="0012043A">
        <w:trPr>
          <w:trHeight w:val="1154"/>
          <w:jc w:val="center"/>
        </w:trPr>
        <w:tc>
          <w:tcPr>
            <w:tcW w:w="1205" w:type="dxa"/>
            <w:vMerge/>
            <w:vAlign w:val="center"/>
          </w:tcPr>
          <w:p w:rsidR="00D3598E" w:rsidRDefault="00D3598E" w:rsidP="00DA0F9C">
            <w:pPr>
              <w:jc w:val="center"/>
              <w:rPr>
                <w:rFonts w:ascii="仿宋_GB2312" w:eastAsia="仿宋_GB2312" w:hAnsi="仿宋" w:cs="仿宋"/>
                <w:b/>
                <w:sz w:val="24"/>
              </w:rPr>
            </w:pPr>
          </w:p>
        </w:tc>
        <w:tc>
          <w:tcPr>
            <w:tcW w:w="1559" w:type="dxa"/>
            <w:vMerge w:val="restart"/>
            <w:vAlign w:val="center"/>
          </w:tcPr>
          <w:p w:rsidR="00D3598E" w:rsidRDefault="00D3598E" w:rsidP="00DA0F9C">
            <w:pPr>
              <w:jc w:val="center"/>
              <w:rPr>
                <w:rFonts w:ascii="仿宋_GB2312" w:eastAsia="仿宋_GB2312" w:hAnsi="仿宋" w:cs="仿宋"/>
                <w:b/>
                <w:sz w:val="24"/>
              </w:rPr>
            </w:pPr>
            <w:r>
              <w:rPr>
                <w:rFonts w:ascii="仿宋_GB2312" w:eastAsia="仿宋_GB2312" w:hAnsi="仿宋" w:cs="仿宋" w:hint="eastAsia"/>
                <w:b/>
                <w:sz w:val="24"/>
              </w:rPr>
              <w:t>9.支撑条件</w:t>
            </w: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（1）有实践基地或联合培养单位，每年均可接收一定规模的学生学习实践，其管理体系及运行机制健全</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8D4389" w:rsidP="0012043A">
            <w:pPr>
              <w:jc w:val="center"/>
              <w:rPr>
                <w:rFonts w:ascii="仿宋_GB2312" w:eastAsia="仿宋_GB2312" w:hAnsi="仿宋" w:cs="仿宋"/>
                <w:sz w:val="24"/>
              </w:rPr>
            </w:pPr>
            <w:r>
              <w:rPr>
                <w:rFonts w:ascii="仿宋_GB2312" w:eastAsia="仿宋_GB2312" w:hAnsi="仿宋" w:cs="仿宋" w:hint="eastAsia"/>
                <w:sz w:val="24"/>
              </w:rPr>
              <w:t>提供基地/</w:t>
            </w:r>
            <w:r w:rsidR="0012043A">
              <w:rPr>
                <w:rFonts w:ascii="仿宋_GB2312" w:eastAsia="仿宋_GB2312" w:hAnsi="仿宋" w:cs="仿宋" w:hint="eastAsia"/>
                <w:sz w:val="24"/>
              </w:rPr>
              <w:t>单位清单</w:t>
            </w:r>
          </w:p>
        </w:tc>
      </w:tr>
      <w:tr w:rsidR="00D3598E" w:rsidTr="0012043A">
        <w:trPr>
          <w:trHeight w:val="1520"/>
          <w:jc w:val="center"/>
        </w:trPr>
        <w:tc>
          <w:tcPr>
            <w:tcW w:w="1205" w:type="dxa"/>
            <w:vMerge/>
            <w:vAlign w:val="center"/>
          </w:tcPr>
          <w:p w:rsidR="00D3598E" w:rsidRDefault="00D3598E" w:rsidP="00DA0F9C">
            <w:pPr>
              <w:widowControl/>
              <w:jc w:val="center"/>
              <w:textAlignment w:val="center"/>
              <w:rPr>
                <w:rFonts w:ascii="仿宋_GB2312" w:eastAsia="仿宋_GB2312" w:hAnsi="宋体" w:cs="宋体"/>
                <w:kern w:val="0"/>
                <w:szCs w:val="21"/>
              </w:rPr>
            </w:pPr>
          </w:p>
        </w:tc>
        <w:tc>
          <w:tcPr>
            <w:tcW w:w="1559" w:type="dxa"/>
            <w:vMerge/>
            <w:vAlign w:val="center"/>
          </w:tcPr>
          <w:p w:rsidR="00D3598E" w:rsidRDefault="00D3598E" w:rsidP="00DA0F9C">
            <w:pPr>
              <w:rPr>
                <w:rFonts w:ascii="仿宋_GB2312" w:eastAsia="仿宋_GB2312" w:hAnsi="宋体" w:cs="宋体"/>
                <w:szCs w:val="21"/>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（2）有固定且满足硕士培养的专业教室、实验室和工作空间；有固定且一定面积的公共展览空间或实验苗圃</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vAlign w:val="center"/>
          </w:tcPr>
          <w:p w:rsidR="00D3598E" w:rsidRDefault="008D4389" w:rsidP="0012043A">
            <w:pPr>
              <w:jc w:val="center"/>
              <w:rPr>
                <w:rFonts w:ascii="仿宋_GB2312" w:eastAsia="仿宋_GB2312" w:hAnsi="仿宋" w:cs="仿宋"/>
                <w:sz w:val="24"/>
              </w:rPr>
            </w:pPr>
            <w:r>
              <w:rPr>
                <w:rFonts w:ascii="仿宋_GB2312" w:eastAsia="仿宋_GB2312" w:hAnsi="仿宋" w:cs="仿宋" w:hint="eastAsia"/>
                <w:sz w:val="24"/>
              </w:rPr>
              <w:t>提供</w:t>
            </w:r>
            <w:r w:rsidR="00B80CE3">
              <w:rPr>
                <w:rFonts w:ascii="仿宋_GB2312" w:eastAsia="仿宋_GB2312" w:hAnsi="仿宋" w:cs="仿宋" w:hint="eastAsia"/>
                <w:sz w:val="24"/>
              </w:rPr>
              <w:t>教室、实验室、公共展览空间或实验苗圃</w:t>
            </w:r>
            <w:r w:rsidR="0012043A">
              <w:rPr>
                <w:rFonts w:ascii="仿宋_GB2312" w:eastAsia="仿宋_GB2312" w:hAnsi="仿宋" w:cs="仿宋" w:hint="eastAsia"/>
                <w:sz w:val="24"/>
              </w:rPr>
              <w:t>清单</w:t>
            </w:r>
          </w:p>
        </w:tc>
      </w:tr>
      <w:tr w:rsidR="00D3598E" w:rsidTr="00284BE4">
        <w:trPr>
          <w:trHeight w:val="899"/>
          <w:jc w:val="center"/>
        </w:trPr>
        <w:tc>
          <w:tcPr>
            <w:tcW w:w="1205" w:type="dxa"/>
            <w:vMerge/>
            <w:vAlign w:val="center"/>
          </w:tcPr>
          <w:p w:rsidR="00D3598E" w:rsidRDefault="00D3598E" w:rsidP="00DA0F9C">
            <w:pPr>
              <w:widowControl/>
              <w:jc w:val="center"/>
              <w:textAlignment w:val="center"/>
              <w:rPr>
                <w:rFonts w:ascii="仿宋_GB2312" w:eastAsia="仿宋_GB2312" w:hAnsi="宋体" w:cs="宋体"/>
                <w:kern w:val="0"/>
                <w:szCs w:val="21"/>
              </w:rPr>
            </w:pPr>
          </w:p>
        </w:tc>
        <w:tc>
          <w:tcPr>
            <w:tcW w:w="1559" w:type="dxa"/>
            <w:vMerge/>
            <w:vAlign w:val="center"/>
          </w:tcPr>
          <w:p w:rsidR="00D3598E" w:rsidRDefault="00D3598E" w:rsidP="00DA0F9C">
            <w:pPr>
              <w:rPr>
                <w:rFonts w:ascii="仿宋_GB2312" w:eastAsia="仿宋_GB2312" w:hAnsi="宋体" w:cs="宋体"/>
                <w:szCs w:val="21"/>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（3）专业书籍、学术期刊（且有一定数量的外文图书期刊和图书资料）</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≥3万册</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tcPr>
          <w:p w:rsidR="00D3598E" w:rsidRDefault="00D3598E" w:rsidP="00DA0F9C">
            <w:pPr>
              <w:jc w:val="center"/>
              <w:rPr>
                <w:rFonts w:ascii="仿宋_GB2312" w:eastAsia="仿宋_GB2312" w:hAnsi="仿宋" w:cs="仿宋"/>
                <w:sz w:val="24"/>
              </w:rPr>
            </w:pPr>
          </w:p>
        </w:tc>
      </w:tr>
      <w:tr w:rsidR="00D3598E" w:rsidTr="00284BE4">
        <w:trPr>
          <w:trHeight w:val="403"/>
          <w:jc w:val="center"/>
        </w:trPr>
        <w:tc>
          <w:tcPr>
            <w:tcW w:w="1205" w:type="dxa"/>
            <w:vMerge/>
            <w:vAlign w:val="center"/>
          </w:tcPr>
          <w:p w:rsidR="00D3598E" w:rsidRDefault="00D3598E" w:rsidP="00DA0F9C">
            <w:pPr>
              <w:widowControl/>
              <w:jc w:val="center"/>
              <w:textAlignment w:val="center"/>
              <w:rPr>
                <w:rFonts w:ascii="仿宋_GB2312" w:eastAsia="仿宋_GB2312" w:hAnsi="宋体" w:cs="宋体"/>
                <w:kern w:val="0"/>
                <w:szCs w:val="21"/>
              </w:rPr>
            </w:pPr>
          </w:p>
        </w:tc>
        <w:tc>
          <w:tcPr>
            <w:tcW w:w="1559" w:type="dxa"/>
            <w:vMerge/>
            <w:vAlign w:val="center"/>
          </w:tcPr>
          <w:p w:rsidR="00D3598E" w:rsidRDefault="00D3598E" w:rsidP="00DA0F9C">
            <w:pPr>
              <w:rPr>
                <w:rFonts w:ascii="仿宋_GB2312" w:eastAsia="仿宋_GB2312" w:hAnsi="宋体" w:cs="宋体"/>
                <w:szCs w:val="21"/>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（4）供学生免费使用的电子文献库</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≥15个</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tcPr>
          <w:p w:rsidR="00D3598E" w:rsidRDefault="00D3598E" w:rsidP="00DA0F9C">
            <w:pPr>
              <w:jc w:val="center"/>
              <w:rPr>
                <w:rFonts w:ascii="仿宋_GB2312" w:eastAsia="仿宋_GB2312" w:hAnsi="仿宋" w:cs="仿宋"/>
                <w:sz w:val="24"/>
              </w:rPr>
            </w:pPr>
          </w:p>
        </w:tc>
      </w:tr>
      <w:tr w:rsidR="00D3598E" w:rsidTr="00284BE4">
        <w:trPr>
          <w:trHeight w:val="1172"/>
          <w:jc w:val="center"/>
        </w:trPr>
        <w:tc>
          <w:tcPr>
            <w:tcW w:w="1205" w:type="dxa"/>
            <w:vMerge/>
            <w:vAlign w:val="center"/>
          </w:tcPr>
          <w:p w:rsidR="00D3598E" w:rsidRDefault="00D3598E" w:rsidP="00DA0F9C">
            <w:pPr>
              <w:widowControl/>
              <w:jc w:val="center"/>
              <w:textAlignment w:val="center"/>
              <w:rPr>
                <w:rFonts w:ascii="仿宋_GB2312" w:eastAsia="仿宋_GB2312" w:hAnsi="宋体" w:cs="宋体"/>
                <w:kern w:val="0"/>
                <w:szCs w:val="21"/>
              </w:rPr>
            </w:pPr>
          </w:p>
        </w:tc>
        <w:tc>
          <w:tcPr>
            <w:tcW w:w="1559" w:type="dxa"/>
            <w:vMerge/>
            <w:vAlign w:val="center"/>
          </w:tcPr>
          <w:p w:rsidR="00D3598E" w:rsidRDefault="00D3598E" w:rsidP="00DA0F9C">
            <w:pPr>
              <w:rPr>
                <w:rFonts w:ascii="仿宋_GB2312" w:eastAsia="仿宋_GB2312" w:hAnsi="宋体" w:cs="宋体"/>
                <w:szCs w:val="21"/>
              </w:rPr>
            </w:pPr>
          </w:p>
        </w:tc>
        <w:tc>
          <w:tcPr>
            <w:tcW w:w="5566" w:type="dxa"/>
            <w:vAlign w:val="center"/>
          </w:tcPr>
          <w:p w:rsidR="00D3598E" w:rsidRDefault="00D3598E" w:rsidP="00DA0F9C">
            <w:pPr>
              <w:rPr>
                <w:rFonts w:ascii="仿宋_GB2312" w:eastAsia="仿宋_GB2312" w:hAnsi="仿宋" w:cs="仿宋"/>
                <w:sz w:val="24"/>
              </w:rPr>
            </w:pPr>
            <w:r>
              <w:rPr>
                <w:rFonts w:ascii="仿宋_GB2312" w:eastAsia="仿宋_GB2312" w:hAnsi="仿宋" w:cs="仿宋" w:hint="eastAsia"/>
                <w:sz w:val="24"/>
              </w:rPr>
              <w:t>（5）有专业学位研究生培养制度，专业学位研究生教育管理机构及专业学位研究生奖助学金体系</w:t>
            </w:r>
          </w:p>
        </w:tc>
        <w:tc>
          <w:tcPr>
            <w:tcW w:w="1276" w:type="dxa"/>
            <w:vAlign w:val="center"/>
          </w:tcPr>
          <w:p w:rsidR="00D3598E" w:rsidRDefault="00D3598E" w:rsidP="00DA0F9C">
            <w:pPr>
              <w:jc w:val="center"/>
              <w:rPr>
                <w:rFonts w:ascii="仿宋_GB2312" w:eastAsia="仿宋_GB2312" w:hAnsi="仿宋" w:cs="仿宋"/>
                <w:sz w:val="24"/>
              </w:rPr>
            </w:pPr>
            <w:r>
              <w:rPr>
                <w:rFonts w:ascii="仿宋_GB2312" w:eastAsia="仿宋_GB2312" w:hAnsi="仿宋" w:cs="仿宋" w:hint="eastAsia"/>
                <w:sz w:val="24"/>
              </w:rPr>
              <w:t>具备</w:t>
            </w:r>
          </w:p>
        </w:tc>
        <w:tc>
          <w:tcPr>
            <w:tcW w:w="1821" w:type="dxa"/>
            <w:shd w:val="clear" w:color="auto" w:fill="DAEEF3" w:themeFill="accent5" w:themeFillTint="33"/>
            <w:vAlign w:val="center"/>
          </w:tcPr>
          <w:p w:rsidR="00D3598E" w:rsidRDefault="00D3598E" w:rsidP="00DA0F9C">
            <w:pPr>
              <w:jc w:val="center"/>
              <w:rPr>
                <w:rFonts w:ascii="仿宋_GB2312" w:eastAsia="仿宋_GB2312" w:hAnsi="仿宋" w:cs="仿宋"/>
                <w:sz w:val="24"/>
              </w:rPr>
            </w:pPr>
          </w:p>
        </w:tc>
        <w:tc>
          <w:tcPr>
            <w:tcW w:w="1821" w:type="dxa"/>
            <w:shd w:val="clear" w:color="auto" w:fill="DAEEF3" w:themeFill="accent5" w:themeFillTint="33"/>
          </w:tcPr>
          <w:p w:rsidR="00D3598E" w:rsidRDefault="00D3598E" w:rsidP="00DA0F9C">
            <w:pPr>
              <w:jc w:val="center"/>
              <w:rPr>
                <w:rFonts w:ascii="仿宋_GB2312" w:eastAsia="仿宋_GB2312" w:hAnsi="仿宋" w:cs="仿宋"/>
                <w:sz w:val="24"/>
              </w:rPr>
            </w:pPr>
          </w:p>
        </w:tc>
      </w:tr>
      <w:tr w:rsidR="00B60258" w:rsidTr="0053235F">
        <w:trPr>
          <w:trHeight w:val="3588"/>
          <w:jc w:val="center"/>
        </w:trPr>
        <w:tc>
          <w:tcPr>
            <w:tcW w:w="2764" w:type="dxa"/>
            <w:gridSpan w:val="2"/>
            <w:vAlign w:val="center"/>
          </w:tcPr>
          <w:p w:rsidR="00B60258" w:rsidRDefault="00B60258" w:rsidP="00DA0F9C">
            <w:pPr>
              <w:rPr>
                <w:rFonts w:ascii="仿宋_GB2312" w:eastAsia="仿宋_GB2312" w:hAnsi="宋体" w:cs="宋体"/>
                <w:szCs w:val="21"/>
              </w:rPr>
            </w:pPr>
            <w:r>
              <w:rPr>
                <w:rFonts w:ascii="仿宋_GB2312" w:eastAsia="仿宋_GB2312" w:hAnsi="仿宋" w:cs="仿宋" w:hint="eastAsia"/>
                <w:b/>
                <w:sz w:val="24"/>
              </w:rPr>
              <w:t>风景园林硕士点2019年突破性指标完成情况</w:t>
            </w:r>
          </w:p>
        </w:tc>
        <w:tc>
          <w:tcPr>
            <w:tcW w:w="10484" w:type="dxa"/>
            <w:gridSpan w:val="4"/>
            <w:shd w:val="clear" w:color="auto" w:fill="DAEEF3" w:themeFill="accent5" w:themeFillTint="33"/>
            <w:vAlign w:val="center"/>
          </w:tcPr>
          <w:p w:rsidR="00B60258" w:rsidRDefault="00B60258" w:rsidP="00DA0F9C">
            <w:pPr>
              <w:jc w:val="center"/>
              <w:rPr>
                <w:rFonts w:ascii="仿宋_GB2312" w:eastAsia="仿宋_GB2312" w:hAnsi="仿宋" w:cs="仿宋"/>
                <w:sz w:val="24"/>
              </w:rPr>
            </w:pPr>
          </w:p>
        </w:tc>
      </w:tr>
    </w:tbl>
    <w:p w:rsidR="00B92C10" w:rsidRDefault="00B92C10" w:rsidP="0053235F">
      <w:pPr>
        <w:rPr>
          <w:rFonts w:ascii="仿宋_GB2312" w:eastAsia="仿宋_GB2312" w:hAnsi="仿宋" w:cs="仿宋"/>
          <w:b/>
          <w:sz w:val="28"/>
        </w:rPr>
      </w:pPr>
    </w:p>
    <w:p w:rsidR="00EA7C29" w:rsidRDefault="00EA7C29" w:rsidP="0053235F">
      <w:pPr>
        <w:rPr>
          <w:rFonts w:ascii="仿宋_GB2312" w:eastAsia="仿宋_GB2312" w:hAnsi="仿宋" w:cs="仿宋"/>
          <w:b/>
          <w:sz w:val="28"/>
        </w:rPr>
      </w:pPr>
    </w:p>
    <w:p w:rsidR="00EA7C29" w:rsidRDefault="00EA7C29" w:rsidP="0053235F">
      <w:pPr>
        <w:rPr>
          <w:rFonts w:ascii="仿宋_GB2312" w:eastAsia="仿宋_GB2312" w:hAnsi="仿宋" w:cs="仿宋"/>
          <w:b/>
          <w:sz w:val="28"/>
        </w:rPr>
      </w:pPr>
    </w:p>
    <w:p w:rsidR="00B92C10" w:rsidRPr="00EA7C29" w:rsidRDefault="00EA7C29" w:rsidP="00EC282E">
      <w:pPr>
        <w:spacing w:line="360" w:lineRule="auto"/>
        <w:rPr>
          <w:rFonts w:ascii="仿宋_GB2312" w:eastAsia="仿宋_GB2312" w:hAnsi="仿宋" w:cs="仿宋"/>
          <w:b/>
          <w:sz w:val="28"/>
        </w:rPr>
      </w:pPr>
      <w:r>
        <w:rPr>
          <w:rFonts w:ascii="仿宋_GB2312" w:eastAsia="仿宋_GB2312" w:hAnsi="仿宋" w:cs="仿宋" w:hint="eastAsia"/>
          <w:b/>
          <w:sz w:val="28"/>
        </w:rPr>
        <w:t>注：</w:t>
      </w:r>
      <w:r w:rsidRPr="00003E85">
        <w:rPr>
          <w:rFonts w:hint="eastAsia"/>
          <w:sz w:val="28"/>
          <w:szCs w:val="28"/>
        </w:rPr>
        <w:t>所填报各项与时间相关的内容均截至</w:t>
      </w:r>
      <w:r w:rsidRPr="00003E85">
        <w:rPr>
          <w:rFonts w:hint="eastAsia"/>
          <w:sz w:val="28"/>
          <w:szCs w:val="28"/>
        </w:rPr>
        <w:t>2019</w:t>
      </w:r>
      <w:r w:rsidRPr="00003E85">
        <w:rPr>
          <w:rFonts w:hint="eastAsia"/>
          <w:sz w:val="28"/>
          <w:szCs w:val="28"/>
        </w:rPr>
        <w:t>年</w:t>
      </w:r>
      <w:r w:rsidRPr="00003E85">
        <w:rPr>
          <w:rFonts w:hint="eastAsia"/>
          <w:sz w:val="28"/>
          <w:szCs w:val="28"/>
        </w:rPr>
        <w:t>12</w:t>
      </w:r>
      <w:r w:rsidRPr="00003E85">
        <w:rPr>
          <w:rFonts w:hint="eastAsia"/>
          <w:sz w:val="28"/>
          <w:szCs w:val="28"/>
        </w:rPr>
        <w:t>月</w:t>
      </w:r>
      <w:r w:rsidRPr="00003E85">
        <w:rPr>
          <w:rFonts w:hint="eastAsia"/>
          <w:sz w:val="28"/>
          <w:szCs w:val="28"/>
        </w:rPr>
        <w:t>31</w:t>
      </w:r>
      <w:r w:rsidRPr="00003E85">
        <w:rPr>
          <w:rFonts w:hint="eastAsia"/>
          <w:sz w:val="28"/>
          <w:szCs w:val="28"/>
        </w:rPr>
        <w:t>日，“近</w:t>
      </w:r>
      <w:r w:rsidRPr="00003E85">
        <w:rPr>
          <w:rFonts w:hint="eastAsia"/>
          <w:sz w:val="28"/>
          <w:szCs w:val="28"/>
        </w:rPr>
        <w:t>5</w:t>
      </w:r>
      <w:r w:rsidRPr="00003E85">
        <w:rPr>
          <w:rFonts w:hint="eastAsia"/>
          <w:sz w:val="28"/>
          <w:szCs w:val="28"/>
        </w:rPr>
        <w:t>年”的统计时间为</w:t>
      </w:r>
      <w:r w:rsidRPr="00003E85">
        <w:rPr>
          <w:rFonts w:hint="eastAsia"/>
          <w:color w:val="FF0000"/>
          <w:sz w:val="28"/>
          <w:szCs w:val="28"/>
        </w:rPr>
        <w:t>2015</w:t>
      </w:r>
      <w:r w:rsidRPr="00003E85">
        <w:rPr>
          <w:rFonts w:hint="eastAsia"/>
          <w:color w:val="FF0000"/>
          <w:sz w:val="28"/>
          <w:szCs w:val="28"/>
        </w:rPr>
        <w:t>年</w:t>
      </w:r>
      <w:r w:rsidRPr="00003E85">
        <w:rPr>
          <w:rFonts w:hint="eastAsia"/>
          <w:color w:val="FF0000"/>
          <w:sz w:val="28"/>
          <w:szCs w:val="28"/>
        </w:rPr>
        <w:t>1</w:t>
      </w:r>
      <w:r w:rsidRPr="00003E85">
        <w:rPr>
          <w:rFonts w:hint="eastAsia"/>
          <w:color w:val="FF0000"/>
          <w:sz w:val="28"/>
          <w:szCs w:val="28"/>
        </w:rPr>
        <w:t>月</w:t>
      </w:r>
      <w:r w:rsidRPr="00003E85">
        <w:rPr>
          <w:rFonts w:hint="eastAsia"/>
          <w:color w:val="FF0000"/>
          <w:sz w:val="28"/>
          <w:szCs w:val="28"/>
        </w:rPr>
        <w:t>1</w:t>
      </w:r>
      <w:r w:rsidRPr="00003E85">
        <w:rPr>
          <w:rFonts w:hint="eastAsia"/>
          <w:color w:val="FF0000"/>
          <w:sz w:val="28"/>
          <w:szCs w:val="28"/>
        </w:rPr>
        <w:t>日至</w:t>
      </w:r>
      <w:r w:rsidRPr="00003E85">
        <w:rPr>
          <w:rFonts w:hint="eastAsia"/>
          <w:color w:val="FF0000"/>
          <w:sz w:val="28"/>
          <w:szCs w:val="28"/>
        </w:rPr>
        <w:t>2019</w:t>
      </w:r>
      <w:r w:rsidRPr="00003E85">
        <w:rPr>
          <w:rFonts w:hint="eastAsia"/>
          <w:color w:val="FF0000"/>
          <w:sz w:val="28"/>
          <w:szCs w:val="28"/>
        </w:rPr>
        <w:t>年</w:t>
      </w:r>
      <w:r w:rsidRPr="00003E85">
        <w:rPr>
          <w:rFonts w:hint="eastAsia"/>
          <w:color w:val="FF0000"/>
          <w:sz w:val="28"/>
          <w:szCs w:val="28"/>
        </w:rPr>
        <w:t>12</w:t>
      </w:r>
      <w:r w:rsidRPr="00003E85">
        <w:rPr>
          <w:rFonts w:hint="eastAsia"/>
          <w:color w:val="FF0000"/>
          <w:sz w:val="28"/>
          <w:szCs w:val="28"/>
        </w:rPr>
        <w:t>月</w:t>
      </w:r>
      <w:r w:rsidR="00981D67">
        <w:rPr>
          <w:rFonts w:hint="eastAsia"/>
          <w:color w:val="FF0000"/>
          <w:sz w:val="28"/>
          <w:szCs w:val="28"/>
        </w:rPr>
        <w:t>31</w:t>
      </w:r>
      <w:r w:rsidR="00981D67">
        <w:rPr>
          <w:rFonts w:hint="eastAsia"/>
          <w:color w:val="FF0000"/>
          <w:sz w:val="28"/>
          <w:szCs w:val="28"/>
        </w:rPr>
        <w:t>日</w:t>
      </w:r>
      <w:r w:rsidR="00EC282E">
        <w:rPr>
          <w:rFonts w:hint="eastAsia"/>
          <w:color w:val="FF0000"/>
          <w:sz w:val="28"/>
          <w:szCs w:val="28"/>
        </w:rPr>
        <w:t>。</w:t>
      </w:r>
      <w:bookmarkStart w:id="0" w:name="_GoBack"/>
      <w:bookmarkEnd w:id="0"/>
    </w:p>
    <w:sectPr w:rsidR="00B92C10" w:rsidRPr="00EA7C29" w:rsidSect="0053235F">
      <w:pgSz w:w="16838" w:h="11906" w:orient="landscape"/>
      <w:pgMar w:top="567" w:right="1440" w:bottom="426"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BDF" w:rsidRDefault="00227BDF" w:rsidP="00B92C10">
      <w:r>
        <w:separator/>
      </w:r>
    </w:p>
  </w:endnote>
  <w:endnote w:type="continuationSeparator" w:id="0">
    <w:p w:rsidR="00227BDF" w:rsidRDefault="00227BDF" w:rsidP="00B9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BDF" w:rsidRDefault="00227BDF" w:rsidP="00B92C10">
      <w:r>
        <w:separator/>
      </w:r>
    </w:p>
  </w:footnote>
  <w:footnote w:type="continuationSeparator" w:id="0">
    <w:p w:rsidR="00227BDF" w:rsidRDefault="00227BDF" w:rsidP="00B92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A90FDD"/>
    <w:multiLevelType w:val="singleLevel"/>
    <w:tmpl w:val="FBA90FDD"/>
    <w:lvl w:ilvl="0">
      <w:start w:val="5"/>
      <w:numFmt w:val="decimal"/>
      <w:lvlText w:val="%1."/>
      <w:lvlJc w:val="left"/>
      <w:pPr>
        <w:tabs>
          <w:tab w:val="num" w:pos="312"/>
        </w:tabs>
      </w:pPr>
    </w:lvl>
  </w:abstractNum>
  <w:abstractNum w:abstractNumId="1">
    <w:nsid w:val="1629D504"/>
    <w:multiLevelType w:val="singleLevel"/>
    <w:tmpl w:val="1629D504"/>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C3A"/>
    <w:rsid w:val="00093546"/>
    <w:rsid w:val="000D180B"/>
    <w:rsid w:val="000F3562"/>
    <w:rsid w:val="00113C3A"/>
    <w:rsid w:val="0012043A"/>
    <w:rsid w:val="00163F3E"/>
    <w:rsid w:val="00193187"/>
    <w:rsid w:val="001B3D94"/>
    <w:rsid w:val="00224249"/>
    <w:rsid w:val="00227BDF"/>
    <w:rsid w:val="00246989"/>
    <w:rsid w:val="00284BE4"/>
    <w:rsid w:val="003B6747"/>
    <w:rsid w:val="0053233B"/>
    <w:rsid w:val="0053235F"/>
    <w:rsid w:val="00545FA2"/>
    <w:rsid w:val="005E6A84"/>
    <w:rsid w:val="006121D5"/>
    <w:rsid w:val="00615090"/>
    <w:rsid w:val="00632365"/>
    <w:rsid w:val="006D7D39"/>
    <w:rsid w:val="006E4166"/>
    <w:rsid w:val="007105DB"/>
    <w:rsid w:val="00741E24"/>
    <w:rsid w:val="007E5B6E"/>
    <w:rsid w:val="00871980"/>
    <w:rsid w:val="008D4389"/>
    <w:rsid w:val="00925BE7"/>
    <w:rsid w:val="00981D67"/>
    <w:rsid w:val="009C7F27"/>
    <w:rsid w:val="009E23A2"/>
    <w:rsid w:val="009F24C6"/>
    <w:rsid w:val="00A328BB"/>
    <w:rsid w:val="00AE046B"/>
    <w:rsid w:val="00B47E33"/>
    <w:rsid w:val="00B60258"/>
    <w:rsid w:val="00B615B4"/>
    <w:rsid w:val="00B80CE3"/>
    <w:rsid w:val="00B92C10"/>
    <w:rsid w:val="00CC2F6A"/>
    <w:rsid w:val="00D3598E"/>
    <w:rsid w:val="00DA0F9C"/>
    <w:rsid w:val="00E01CAE"/>
    <w:rsid w:val="00E24315"/>
    <w:rsid w:val="00EA7C29"/>
    <w:rsid w:val="00EB56AE"/>
    <w:rsid w:val="00EC282E"/>
    <w:rsid w:val="00EC311B"/>
    <w:rsid w:val="00ED3716"/>
    <w:rsid w:val="00F632BF"/>
    <w:rsid w:val="00F92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2C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2C10"/>
    <w:rPr>
      <w:sz w:val="18"/>
      <w:szCs w:val="18"/>
    </w:rPr>
  </w:style>
  <w:style w:type="paragraph" w:styleId="a4">
    <w:name w:val="footer"/>
    <w:basedOn w:val="a"/>
    <w:link w:val="Char0"/>
    <w:uiPriority w:val="99"/>
    <w:unhideWhenUsed/>
    <w:rsid w:val="00B92C10"/>
    <w:pPr>
      <w:tabs>
        <w:tab w:val="center" w:pos="4153"/>
        <w:tab w:val="right" w:pos="8306"/>
      </w:tabs>
      <w:snapToGrid w:val="0"/>
      <w:jc w:val="left"/>
    </w:pPr>
    <w:rPr>
      <w:sz w:val="18"/>
      <w:szCs w:val="18"/>
    </w:rPr>
  </w:style>
  <w:style w:type="character" w:customStyle="1" w:styleId="Char0">
    <w:name w:val="页脚 Char"/>
    <w:basedOn w:val="a0"/>
    <w:link w:val="a4"/>
    <w:uiPriority w:val="99"/>
    <w:rsid w:val="00B92C10"/>
    <w:rPr>
      <w:sz w:val="18"/>
      <w:szCs w:val="18"/>
    </w:rPr>
  </w:style>
  <w:style w:type="paragraph" w:styleId="a5">
    <w:name w:val="List Paragraph"/>
    <w:basedOn w:val="a"/>
    <w:uiPriority w:val="99"/>
    <w:qFormat/>
    <w:rsid w:val="00B92C10"/>
    <w:pPr>
      <w:ind w:firstLineChars="200" w:firstLine="420"/>
    </w:pPr>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2C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2C10"/>
    <w:rPr>
      <w:sz w:val="18"/>
      <w:szCs w:val="18"/>
    </w:rPr>
  </w:style>
  <w:style w:type="paragraph" w:styleId="a4">
    <w:name w:val="footer"/>
    <w:basedOn w:val="a"/>
    <w:link w:val="Char0"/>
    <w:uiPriority w:val="99"/>
    <w:unhideWhenUsed/>
    <w:rsid w:val="00B92C10"/>
    <w:pPr>
      <w:tabs>
        <w:tab w:val="center" w:pos="4153"/>
        <w:tab w:val="right" w:pos="8306"/>
      </w:tabs>
      <w:snapToGrid w:val="0"/>
      <w:jc w:val="left"/>
    </w:pPr>
    <w:rPr>
      <w:sz w:val="18"/>
      <w:szCs w:val="18"/>
    </w:rPr>
  </w:style>
  <w:style w:type="character" w:customStyle="1" w:styleId="Char0">
    <w:name w:val="页脚 Char"/>
    <w:basedOn w:val="a0"/>
    <w:link w:val="a4"/>
    <w:uiPriority w:val="99"/>
    <w:rsid w:val="00B92C10"/>
    <w:rPr>
      <w:sz w:val="18"/>
      <w:szCs w:val="18"/>
    </w:rPr>
  </w:style>
  <w:style w:type="paragraph" w:styleId="a5">
    <w:name w:val="List Paragraph"/>
    <w:basedOn w:val="a"/>
    <w:uiPriority w:val="99"/>
    <w:qFormat/>
    <w:rsid w:val="00B92C10"/>
    <w:pPr>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3</Pages>
  <Words>226</Words>
  <Characters>1294</Characters>
  <Application>Microsoft Office Word</Application>
  <DocSecurity>0</DocSecurity>
  <Lines>10</Lines>
  <Paragraphs>3</Paragraphs>
  <ScaleCrop>false</ScaleCrop>
  <Company/>
  <LinksUpToDate>false</LinksUpToDate>
  <CharactersWithSpaces>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龙春阳</dc:creator>
  <cp:keywords/>
  <dc:description/>
  <cp:lastModifiedBy>龙春阳</cp:lastModifiedBy>
  <cp:revision>36</cp:revision>
  <dcterms:created xsi:type="dcterms:W3CDTF">2019-11-29T08:32:00Z</dcterms:created>
  <dcterms:modified xsi:type="dcterms:W3CDTF">2019-12-02T03:18:00Z</dcterms:modified>
</cp:coreProperties>
</file>